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255/2023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PAD-3 Interino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General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 – Neuquén – Gral. Roca)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General -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Prof. en Comunicación Social (Gral Roca -FADECS)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600450" cy="5003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7727" y="352282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600450" cy="500311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5003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Noviembre a las 10:00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Didáctica General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PAD-3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D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6F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+LH/JoWSaWaibaW9qJVH6Urjw==">CgMxLjAyCGguZ2pkZ3hzMgloLjMwajB6bGw4AHIhMThFSTBJYjJOeDFOQ1BhdHpYU1RDU0hXZ2xBbVFHTVBu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